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BE" w:rsidRPr="00260E7D" w:rsidRDefault="00B26F1B" w:rsidP="006D45BE">
      <w:pPr>
        <w:pStyle w:val="Nadpis1"/>
        <w:tabs>
          <w:tab w:val="left" w:pos="1701"/>
          <w:tab w:val="left" w:pos="6237"/>
          <w:tab w:val="left" w:pos="7513"/>
        </w:tabs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-109220</wp:posOffset>
            </wp:positionV>
            <wp:extent cx="753745" cy="859155"/>
            <wp:effectExtent l="19050" t="0" r="8255" b="0"/>
            <wp:wrapNone/>
            <wp:docPr id="9" name="obrázek 9" descr="Znak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k ob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F4FE6">
        <w:t>O</w:t>
      </w:r>
      <w:r w:rsidR="00FE03CF">
        <w:t xml:space="preserve"> </w:t>
      </w:r>
      <w:r w:rsidR="009F4FE6">
        <w:t>b</w:t>
      </w:r>
      <w:r w:rsidR="00FE03CF">
        <w:t xml:space="preserve"> </w:t>
      </w:r>
      <w:r w:rsidR="009F4FE6">
        <w:t>e</w:t>
      </w:r>
      <w:r w:rsidR="00FE03CF">
        <w:t xml:space="preserve"> </w:t>
      </w:r>
      <w:r w:rsidR="009F4FE6">
        <w:t>c</w:t>
      </w:r>
      <w:r w:rsidR="00FE03CF">
        <w:t xml:space="preserve">  </w:t>
      </w:r>
      <w:r w:rsidR="009F4FE6">
        <w:t xml:space="preserve"> L</w:t>
      </w:r>
      <w:r w:rsidR="00FE03CF">
        <w:t xml:space="preserve"> </w:t>
      </w:r>
      <w:r w:rsidR="009F4FE6">
        <w:t>e</w:t>
      </w:r>
      <w:r w:rsidR="00FE03CF">
        <w:t xml:space="preserve"> </w:t>
      </w:r>
      <w:r w:rsidR="009F4FE6">
        <w:t>l</w:t>
      </w:r>
      <w:r w:rsidR="00FE03CF">
        <w:t xml:space="preserve"> </w:t>
      </w:r>
      <w:r w:rsidR="009F4FE6">
        <w:t>e</w:t>
      </w:r>
      <w:r w:rsidR="00FE03CF">
        <w:t xml:space="preserve"> </w:t>
      </w:r>
      <w:r w:rsidR="009F4FE6">
        <w:t>k</w:t>
      </w:r>
      <w:r w:rsidR="00FE03CF">
        <w:t> </w:t>
      </w:r>
      <w:r w:rsidR="009F4FE6">
        <w:t>o</w:t>
      </w:r>
      <w:r w:rsidR="00FE03CF">
        <w:t xml:space="preserve"> </w:t>
      </w:r>
      <w:r w:rsidR="009F4FE6">
        <w:t>v</w:t>
      </w:r>
      <w:r w:rsidR="00FE03CF">
        <w:t> </w:t>
      </w:r>
      <w:r w:rsidR="009F4FE6">
        <w:t>i</w:t>
      </w:r>
      <w:r w:rsidR="00FE03CF">
        <w:t xml:space="preserve"> </w:t>
      </w:r>
      <w:r w:rsidR="009F4FE6">
        <w:t>c</w:t>
      </w:r>
      <w:r w:rsidR="00FE03CF">
        <w:t xml:space="preserve"> </w:t>
      </w:r>
      <w:r w:rsidR="009F4FE6">
        <w:t>e</w:t>
      </w:r>
      <w:proofErr w:type="gramEnd"/>
    </w:p>
    <w:p w:rsidR="006D45BE" w:rsidRDefault="009F4FE6" w:rsidP="00433B36">
      <w:pPr>
        <w:jc w:val="center"/>
        <w:rPr>
          <w:b/>
        </w:rPr>
      </w:pPr>
      <w:r>
        <w:rPr>
          <w:b/>
        </w:rPr>
        <w:t xml:space="preserve">Hlavní </w:t>
      </w:r>
      <w:proofErr w:type="gramStart"/>
      <w:r>
        <w:rPr>
          <w:b/>
        </w:rPr>
        <w:t>75/7,  664 31</w:t>
      </w:r>
      <w:proofErr w:type="gramEnd"/>
      <w:r>
        <w:rPr>
          <w:b/>
        </w:rPr>
        <w:t xml:space="preserve"> Lelekovice</w:t>
      </w:r>
    </w:p>
    <w:p w:rsidR="007D065D" w:rsidRDefault="00433B36" w:rsidP="00433B36">
      <w:pPr>
        <w:jc w:val="center"/>
      </w:pPr>
      <w:r>
        <w:t>Tel.</w:t>
      </w:r>
      <w:r w:rsidR="007D065D">
        <w:t>: 541 232</w:t>
      </w:r>
      <w:r w:rsidR="00D65853">
        <w:t> </w:t>
      </w:r>
      <w:r w:rsidR="007D065D">
        <w:t>223</w:t>
      </w:r>
      <w:r w:rsidR="00D65853">
        <w:t xml:space="preserve">  IČ</w:t>
      </w:r>
      <w:r>
        <w:t>O:</w:t>
      </w:r>
      <w:r w:rsidR="00D65853">
        <w:t xml:space="preserve"> 00281999</w:t>
      </w:r>
    </w:p>
    <w:p w:rsidR="00CA3707" w:rsidRPr="00CA3707" w:rsidRDefault="00EB2AD1" w:rsidP="00433B36">
      <w:pPr>
        <w:jc w:val="center"/>
        <w:rPr>
          <w:color w:val="4F81BD"/>
        </w:rPr>
      </w:pPr>
      <w:r>
        <w:rPr>
          <w:color w:val="4F81BD"/>
        </w:rPr>
        <w:t>ou</w:t>
      </w:r>
      <w:r w:rsidR="00E33099">
        <w:rPr>
          <w:color w:val="4F81BD"/>
        </w:rPr>
        <w:t>lelekovice</w:t>
      </w:r>
      <w:r>
        <w:rPr>
          <w:color w:val="4F81BD"/>
        </w:rPr>
        <w:t>1</w:t>
      </w:r>
      <w:r w:rsidR="00E33099">
        <w:rPr>
          <w:color w:val="4F81BD"/>
        </w:rPr>
        <w:t>@gmail.com</w:t>
      </w:r>
    </w:p>
    <w:p w:rsidR="00CA3707" w:rsidRPr="00360124" w:rsidRDefault="00360124">
      <w:pPr>
        <w:rPr>
          <w:u w:val="single"/>
        </w:rPr>
      </w:pPr>
      <w:r w:rsidRPr="00360124">
        <w:rPr>
          <w:u w:val="single"/>
        </w:rPr>
        <w:t>_________________________________________________________</w:t>
      </w:r>
      <w:r w:rsidR="00123587">
        <w:rPr>
          <w:u w:val="single"/>
        </w:rPr>
        <w:t>____________</w:t>
      </w:r>
      <w:r w:rsidR="000521C8">
        <w:rPr>
          <w:u w:val="single"/>
        </w:rPr>
        <w:t>______</w:t>
      </w:r>
    </w:p>
    <w:p w:rsidR="00EA2D69" w:rsidRDefault="00EA2D69" w:rsidP="00CA48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2D69" w:rsidRDefault="00EA2D69" w:rsidP="00CA484D">
      <w:r>
        <w:t>Informace</w:t>
      </w:r>
    </w:p>
    <w:p w:rsidR="00EA2D69" w:rsidRDefault="00EA2D69" w:rsidP="00CA484D">
      <w:r>
        <w:t>___________________________________________________________________________</w:t>
      </w:r>
    </w:p>
    <w:p w:rsidR="00EA2D69" w:rsidRDefault="00EA2D69" w:rsidP="00CA484D"/>
    <w:p w:rsidR="00EA2D69" w:rsidRDefault="00EA2D69" w:rsidP="00CA484D"/>
    <w:p w:rsidR="00EA2D69" w:rsidRDefault="00EA2D69" w:rsidP="00CA484D">
      <w:r>
        <w:t>Obec Lelekovice zveřejňuje informaci o obdržení oznámení záměru</w:t>
      </w:r>
      <w:r w:rsidR="00EA204F">
        <w:t>:</w:t>
      </w:r>
    </w:p>
    <w:p w:rsidR="00EA204F" w:rsidRDefault="00EA204F" w:rsidP="00CA484D"/>
    <w:p w:rsidR="00EA2D69" w:rsidRDefault="00EA2D69" w:rsidP="00CA484D">
      <w:pPr>
        <w:rPr>
          <w:u w:val="single"/>
        </w:rPr>
      </w:pPr>
    </w:p>
    <w:p w:rsidR="00074EB9" w:rsidRPr="00074EB9" w:rsidRDefault="00074EB9" w:rsidP="00CA484D">
      <w:pPr>
        <w:rPr>
          <w:sz w:val="32"/>
          <w:szCs w:val="32"/>
          <w:u w:val="single"/>
        </w:rPr>
      </w:pPr>
    </w:p>
    <w:p w:rsidR="00CA02B3" w:rsidRPr="00074EB9" w:rsidRDefault="00EA2D69" w:rsidP="00E33099">
      <w:pPr>
        <w:rPr>
          <w:b/>
          <w:sz w:val="28"/>
          <w:szCs w:val="28"/>
        </w:rPr>
      </w:pPr>
      <w:r w:rsidRPr="00074EB9">
        <w:rPr>
          <w:b/>
          <w:sz w:val="28"/>
          <w:szCs w:val="28"/>
        </w:rPr>
        <w:t>Terénní úpravy pro areál PARK 24 LELEKOVICE</w:t>
      </w:r>
    </w:p>
    <w:p w:rsidR="00EA204F" w:rsidRDefault="00EA204F" w:rsidP="00E33099">
      <w:pPr>
        <w:rPr>
          <w:b/>
          <w:sz w:val="28"/>
          <w:szCs w:val="28"/>
        </w:rPr>
      </w:pPr>
    </w:p>
    <w:p w:rsidR="00074EB9" w:rsidRPr="000A7D33" w:rsidRDefault="00074EB9" w:rsidP="00E33099">
      <w:pPr>
        <w:rPr>
          <w:b/>
          <w:sz w:val="28"/>
          <w:szCs w:val="28"/>
        </w:rPr>
      </w:pPr>
    </w:p>
    <w:p w:rsidR="00EA2D69" w:rsidRDefault="00EA2D69" w:rsidP="00E33099"/>
    <w:p w:rsidR="00EA2D69" w:rsidRDefault="00EA2D69" w:rsidP="00EA204F">
      <w:pPr>
        <w:jc w:val="both"/>
      </w:pPr>
      <w:r>
        <w:t>Tento záměr bude podroben zjišťovacímu řízení podle ustanovení § 7 zákona.</w:t>
      </w:r>
    </w:p>
    <w:p w:rsidR="00EA2D69" w:rsidRDefault="00EA2D69" w:rsidP="00EA204F">
      <w:pPr>
        <w:jc w:val="both"/>
      </w:pPr>
    </w:p>
    <w:p w:rsidR="000A7D33" w:rsidRDefault="00EA2D69" w:rsidP="00EA204F">
      <w:pPr>
        <w:jc w:val="both"/>
      </w:pPr>
      <w:r w:rsidRPr="00074EB9">
        <w:rPr>
          <w:b/>
        </w:rPr>
        <w:t>Do oznámení je možno nahlížet</w:t>
      </w:r>
      <w:r>
        <w:t xml:space="preserve"> v kanceláři Obecního úřadu Lelekovice v termínu </w:t>
      </w:r>
      <w:r w:rsidRPr="00074EB9">
        <w:rPr>
          <w:b/>
        </w:rPr>
        <w:t xml:space="preserve">od </w:t>
      </w:r>
      <w:proofErr w:type="gramStart"/>
      <w:r w:rsidRPr="00074EB9">
        <w:rPr>
          <w:b/>
        </w:rPr>
        <w:t>22.6.2022</w:t>
      </w:r>
      <w:proofErr w:type="gramEnd"/>
      <w:r w:rsidRPr="00074EB9">
        <w:rPr>
          <w:b/>
        </w:rPr>
        <w:t xml:space="preserve"> do </w:t>
      </w:r>
      <w:r w:rsidR="00E50628" w:rsidRPr="00074EB9">
        <w:rPr>
          <w:b/>
        </w:rPr>
        <w:t>8.7.2022</w:t>
      </w:r>
      <w:r w:rsidR="00E50628">
        <w:t xml:space="preserve"> </w:t>
      </w:r>
      <w:r w:rsidR="000A7D33">
        <w:t xml:space="preserve">v úřední dny (Po a St od 8:00 do 12:00 hod. a od 13:00 do 17:00 hod), popřípadě po telefonické domluvě i mimo tyto úřední dny. </w:t>
      </w:r>
    </w:p>
    <w:p w:rsidR="000A7D33" w:rsidRDefault="000A7D33" w:rsidP="00EA204F">
      <w:pPr>
        <w:jc w:val="both"/>
      </w:pPr>
    </w:p>
    <w:p w:rsidR="00E50628" w:rsidRDefault="00E50628" w:rsidP="00EA204F">
      <w:pPr>
        <w:jc w:val="both"/>
      </w:pPr>
      <w:r>
        <w:t>Oznámení záměru je k dispozici také na odboru životního prostředí, oddělení posuzování vlivů na životní prostředí Krajského úřadu Jihomoravského kraje u Mgr. Richterové, kancelář 414A. Do oznámení záměru je možné nahlížet v úřední dny (Po a St od 8:00 do 17:00 hodin), popřípadě po telefonické d</w:t>
      </w:r>
      <w:r w:rsidR="000A7D33">
        <w:t xml:space="preserve">omluvě i mimo tyto úřední dny. </w:t>
      </w:r>
    </w:p>
    <w:p w:rsidR="000A7D33" w:rsidRDefault="000A7D33" w:rsidP="00EA204F">
      <w:pPr>
        <w:jc w:val="both"/>
      </w:pPr>
    </w:p>
    <w:p w:rsidR="000A7D33" w:rsidRDefault="000A7D33" w:rsidP="00EA204F">
      <w:pPr>
        <w:jc w:val="both"/>
      </w:pPr>
      <w:r>
        <w:t xml:space="preserve">Elektronická verze oznámení záměru je umístěna na internetu na adrese </w:t>
      </w:r>
      <w:hyperlink r:id="rId9" w:history="1">
        <w:r w:rsidRPr="000A7D33">
          <w:rPr>
            <w:rStyle w:val="Hypertextovodkaz"/>
            <w:u w:val="none"/>
          </w:rPr>
          <w:t>http://portal.cenia.cz/eiasea/view/eia100_cr</w:t>
        </w:r>
      </w:hyperlink>
      <w:r>
        <w:t xml:space="preserve"> (kód záměru JHM1655).</w:t>
      </w:r>
    </w:p>
    <w:p w:rsidR="000A7D33" w:rsidRDefault="000A7D33" w:rsidP="00EA204F">
      <w:pPr>
        <w:jc w:val="both"/>
      </w:pPr>
    </w:p>
    <w:p w:rsidR="00515524" w:rsidRDefault="00515524" w:rsidP="00EA204F">
      <w:pPr>
        <w:jc w:val="both"/>
      </w:pPr>
      <w:r>
        <w:t xml:space="preserve">Písemná vyjádření k tomuto oznámení je možno zasílat na odbor životního prostředí Krajského úřadu Jihomoravského kraje, Žerotínovo nám. 3, </w:t>
      </w:r>
      <w:proofErr w:type="gramStart"/>
      <w:r>
        <w:t>601 82   Brno</w:t>
      </w:r>
      <w:proofErr w:type="gramEnd"/>
      <w:r>
        <w:t xml:space="preserve"> krajskému úřadu nejpozději do </w:t>
      </w:r>
      <w:r w:rsidR="00EA204F">
        <w:t>30 dnů ode dne zveřejnění. Ve vyjádřeních uvádějte spisovou značku S-JMK 82765/2022 OŽP/</w:t>
      </w:r>
      <w:proofErr w:type="spellStart"/>
      <w:r w:rsidR="00EA204F">
        <w:t>Rich</w:t>
      </w:r>
      <w:proofErr w:type="spellEnd"/>
      <w:r w:rsidR="008568DB">
        <w:t xml:space="preserve">. Za den zveřejnění se považuje den, kdy došlo k vyvěšení informace o oznámení záměru na </w:t>
      </w:r>
      <w:proofErr w:type="spellStart"/>
      <w:r w:rsidR="008568DB">
        <w:t>úředení</w:t>
      </w:r>
      <w:proofErr w:type="spellEnd"/>
      <w:r w:rsidR="008568DB">
        <w:t xml:space="preserve"> desce Jihomoravského kraje.</w:t>
      </w:r>
    </w:p>
    <w:p w:rsidR="00E50628" w:rsidRDefault="00E50628" w:rsidP="00EA204F">
      <w:pPr>
        <w:jc w:val="both"/>
      </w:pPr>
    </w:p>
    <w:p w:rsidR="00CA484D" w:rsidRDefault="00CA484D" w:rsidP="00EA204F">
      <w:pPr>
        <w:jc w:val="both"/>
        <w:rPr>
          <w:b/>
        </w:rPr>
      </w:pPr>
    </w:p>
    <w:p w:rsidR="0069391B" w:rsidRDefault="0069391B" w:rsidP="00E33099">
      <w:pPr>
        <w:rPr>
          <w:b/>
        </w:rPr>
      </w:pPr>
    </w:p>
    <w:p w:rsidR="00354C38" w:rsidRDefault="00354C38" w:rsidP="002453B1">
      <w:pPr>
        <w:pStyle w:val="Default"/>
        <w:jc w:val="both"/>
        <w:rPr>
          <w:sz w:val="23"/>
          <w:szCs w:val="23"/>
        </w:rPr>
      </w:pPr>
    </w:p>
    <w:p w:rsidR="00FB7A70" w:rsidRDefault="00FB7A70" w:rsidP="002453B1">
      <w:pPr>
        <w:pStyle w:val="Default"/>
        <w:jc w:val="both"/>
        <w:rPr>
          <w:sz w:val="23"/>
          <w:szCs w:val="23"/>
        </w:rPr>
      </w:pPr>
    </w:p>
    <w:p w:rsidR="00FB7A70" w:rsidRDefault="00FB7A70" w:rsidP="002453B1">
      <w:pPr>
        <w:pStyle w:val="Default"/>
        <w:jc w:val="both"/>
        <w:rPr>
          <w:sz w:val="23"/>
          <w:szCs w:val="23"/>
        </w:rPr>
      </w:pPr>
    </w:p>
    <w:p w:rsidR="00FB7A70" w:rsidRDefault="00FB7A70" w:rsidP="002453B1">
      <w:pPr>
        <w:pStyle w:val="Default"/>
        <w:jc w:val="both"/>
        <w:rPr>
          <w:sz w:val="23"/>
          <w:szCs w:val="23"/>
        </w:rPr>
      </w:pPr>
    </w:p>
    <w:p w:rsidR="00FB7A70" w:rsidRDefault="00FB7A70" w:rsidP="002453B1">
      <w:pPr>
        <w:pStyle w:val="Default"/>
        <w:jc w:val="both"/>
        <w:rPr>
          <w:sz w:val="23"/>
          <w:szCs w:val="23"/>
        </w:rPr>
      </w:pPr>
    </w:p>
    <w:p w:rsidR="00FB7A70" w:rsidRDefault="00FB7A70" w:rsidP="002453B1">
      <w:pPr>
        <w:pStyle w:val="Default"/>
        <w:jc w:val="both"/>
        <w:rPr>
          <w:sz w:val="23"/>
          <w:szCs w:val="23"/>
        </w:rPr>
      </w:pPr>
    </w:p>
    <w:p w:rsidR="00FB7A70" w:rsidRDefault="00FB7A70" w:rsidP="002453B1">
      <w:pPr>
        <w:pStyle w:val="Default"/>
        <w:jc w:val="both"/>
        <w:rPr>
          <w:sz w:val="23"/>
          <w:szCs w:val="23"/>
        </w:rPr>
      </w:pPr>
    </w:p>
    <w:p w:rsidR="00FB7A70" w:rsidRDefault="00FB7A70" w:rsidP="002453B1">
      <w:pPr>
        <w:pStyle w:val="Default"/>
        <w:jc w:val="both"/>
        <w:rPr>
          <w:sz w:val="23"/>
          <w:szCs w:val="23"/>
        </w:rPr>
      </w:pPr>
    </w:p>
    <w:p w:rsidR="00CA484D" w:rsidRDefault="00CA484D" w:rsidP="00E33099">
      <w:bookmarkStart w:id="0" w:name="_GoBack"/>
      <w:bookmarkEnd w:id="0"/>
    </w:p>
    <w:sectPr w:rsidR="00CA484D" w:rsidSect="000521C8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80" w:rsidRDefault="000C4580">
      <w:r>
        <w:separator/>
      </w:r>
    </w:p>
  </w:endnote>
  <w:endnote w:type="continuationSeparator" w:id="0">
    <w:p w:rsidR="000C4580" w:rsidRDefault="000C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Look w:val="01E0" w:firstRow="1" w:lastRow="1" w:firstColumn="1" w:lastColumn="1" w:noHBand="0" w:noVBand="0"/>
    </w:tblPr>
    <w:tblGrid>
      <w:gridCol w:w="1214"/>
      <w:gridCol w:w="1384"/>
      <w:gridCol w:w="1339"/>
      <w:gridCol w:w="1493"/>
      <w:gridCol w:w="2012"/>
      <w:gridCol w:w="2339"/>
    </w:tblGrid>
    <w:tr w:rsidR="005D513D" w:rsidRPr="001235C8" w:rsidTr="00025514">
      <w:tc>
        <w:tcPr>
          <w:tcW w:w="1214" w:type="dxa"/>
        </w:tcPr>
        <w:p w:rsidR="005D513D" w:rsidRPr="001235C8" w:rsidRDefault="005D513D" w:rsidP="001235C8">
          <w:pPr>
            <w:keepNext/>
            <w:tabs>
              <w:tab w:val="left" w:pos="887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  <w:tc>
        <w:tcPr>
          <w:tcW w:w="1384" w:type="dxa"/>
        </w:tcPr>
        <w:p w:rsidR="005D513D" w:rsidRPr="001235C8" w:rsidRDefault="005D513D" w:rsidP="001235C8">
          <w:pPr>
            <w:keepNext/>
            <w:tabs>
              <w:tab w:val="left" w:pos="1080"/>
              <w:tab w:val="left" w:pos="1701"/>
              <w:tab w:val="left" w:pos="2340"/>
              <w:tab w:val="left" w:pos="3420"/>
              <w:tab w:val="left" w:pos="6237"/>
              <w:tab w:val="left" w:pos="7200"/>
              <w:tab w:val="left" w:pos="7513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  <w:tc>
        <w:tcPr>
          <w:tcW w:w="1339" w:type="dxa"/>
        </w:tcPr>
        <w:p w:rsidR="005D513D" w:rsidRPr="001235C8" w:rsidRDefault="005D513D" w:rsidP="001235C8">
          <w:pPr>
            <w:keepNext/>
            <w:tabs>
              <w:tab w:val="left" w:pos="1080"/>
              <w:tab w:val="left" w:pos="1701"/>
              <w:tab w:val="left" w:pos="2340"/>
              <w:tab w:val="left" w:pos="3420"/>
              <w:tab w:val="left" w:pos="6237"/>
              <w:tab w:val="left" w:pos="7200"/>
              <w:tab w:val="left" w:pos="7513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  <w:tc>
        <w:tcPr>
          <w:tcW w:w="1493" w:type="dxa"/>
        </w:tcPr>
        <w:p w:rsidR="005D513D" w:rsidRPr="001235C8" w:rsidRDefault="005D513D" w:rsidP="001235C8">
          <w:pPr>
            <w:keepNext/>
            <w:tabs>
              <w:tab w:val="left" w:pos="1080"/>
              <w:tab w:val="left" w:pos="1701"/>
              <w:tab w:val="left" w:pos="2340"/>
              <w:tab w:val="left" w:pos="3420"/>
              <w:tab w:val="left" w:pos="6237"/>
              <w:tab w:val="left" w:pos="7200"/>
              <w:tab w:val="left" w:pos="7513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  <w:tc>
        <w:tcPr>
          <w:tcW w:w="2012" w:type="dxa"/>
        </w:tcPr>
        <w:p w:rsidR="005D513D" w:rsidRPr="001235C8" w:rsidRDefault="005D513D" w:rsidP="001235C8">
          <w:pPr>
            <w:keepNext/>
            <w:tabs>
              <w:tab w:val="left" w:pos="1080"/>
              <w:tab w:val="left" w:pos="1701"/>
              <w:tab w:val="left" w:pos="2340"/>
              <w:tab w:val="left" w:pos="3420"/>
              <w:tab w:val="left" w:pos="6237"/>
              <w:tab w:val="left" w:pos="7200"/>
              <w:tab w:val="left" w:pos="7513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  <w:tc>
        <w:tcPr>
          <w:tcW w:w="2339" w:type="dxa"/>
        </w:tcPr>
        <w:p w:rsidR="005D513D" w:rsidRPr="001235C8" w:rsidRDefault="005D513D" w:rsidP="001235C8">
          <w:pPr>
            <w:keepNext/>
            <w:tabs>
              <w:tab w:val="left" w:pos="1080"/>
              <w:tab w:val="left" w:pos="1701"/>
              <w:tab w:val="left" w:pos="2340"/>
              <w:tab w:val="left" w:pos="3420"/>
              <w:tab w:val="left" w:pos="6237"/>
              <w:tab w:val="left" w:pos="7200"/>
              <w:tab w:val="left" w:pos="7513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</w:tr>
    <w:tr w:rsidR="005D513D" w:rsidRPr="001235C8" w:rsidTr="00025514">
      <w:tc>
        <w:tcPr>
          <w:tcW w:w="1214" w:type="dxa"/>
        </w:tcPr>
        <w:p w:rsidR="005D513D" w:rsidRPr="001235C8" w:rsidRDefault="005D513D" w:rsidP="001235C8">
          <w:pPr>
            <w:keepNext/>
            <w:tabs>
              <w:tab w:val="left" w:pos="1080"/>
              <w:tab w:val="left" w:pos="1701"/>
              <w:tab w:val="left" w:pos="2340"/>
              <w:tab w:val="left" w:pos="3420"/>
              <w:tab w:val="left" w:pos="6237"/>
              <w:tab w:val="left" w:pos="7200"/>
              <w:tab w:val="left" w:pos="7513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  <w:tc>
        <w:tcPr>
          <w:tcW w:w="1384" w:type="dxa"/>
        </w:tcPr>
        <w:p w:rsidR="005D513D" w:rsidRPr="001235C8" w:rsidRDefault="005D513D" w:rsidP="001235C8">
          <w:pPr>
            <w:keepNext/>
            <w:tabs>
              <w:tab w:val="left" w:pos="1080"/>
              <w:tab w:val="left" w:pos="1701"/>
              <w:tab w:val="left" w:pos="2340"/>
              <w:tab w:val="left" w:pos="3420"/>
              <w:tab w:val="left" w:pos="6237"/>
              <w:tab w:val="left" w:pos="7200"/>
              <w:tab w:val="left" w:pos="7513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  <w:tc>
        <w:tcPr>
          <w:tcW w:w="1339" w:type="dxa"/>
        </w:tcPr>
        <w:p w:rsidR="005D513D" w:rsidRPr="001235C8" w:rsidRDefault="005D513D" w:rsidP="001235C8">
          <w:pPr>
            <w:keepNext/>
            <w:tabs>
              <w:tab w:val="left" w:pos="1080"/>
              <w:tab w:val="left" w:pos="1701"/>
              <w:tab w:val="left" w:pos="2340"/>
              <w:tab w:val="left" w:pos="3420"/>
              <w:tab w:val="left" w:pos="6237"/>
              <w:tab w:val="left" w:pos="7200"/>
              <w:tab w:val="left" w:pos="7513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  <w:tc>
        <w:tcPr>
          <w:tcW w:w="1493" w:type="dxa"/>
        </w:tcPr>
        <w:p w:rsidR="005D513D" w:rsidRPr="001235C8" w:rsidRDefault="005D513D" w:rsidP="001235C8">
          <w:pPr>
            <w:keepNext/>
            <w:tabs>
              <w:tab w:val="left" w:pos="1080"/>
              <w:tab w:val="left" w:pos="1701"/>
              <w:tab w:val="left" w:pos="2340"/>
              <w:tab w:val="left" w:pos="3420"/>
              <w:tab w:val="left" w:pos="6237"/>
              <w:tab w:val="left" w:pos="7200"/>
              <w:tab w:val="left" w:pos="7513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  <w:tc>
        <w:tcPr>
          <w:tcW w:w="2012" w:type="dxa"/>
        </w:tcPr>
        <w:p w:rsidR="005D513D" w:rsidRPr="001235C8" w:rsidRDefault="005D513D" w:rsidP="001235C8">
          <w:pPr>
            <w:keepNext/>
            <w:tabs>
              <w:tab w:val="left" w:pos="1080"/>
              <w:tab w:val="left" w:pos="1701"/>
              <w:tab w:val="left" w:pos="2340"/>
              <w:tab w:val="left" w:pos="3420"/>
              <w:tab w:val="left" w:pos="6237"/>
              <w:tab w:val="left" w:pos="7200"/>
              <w:tab w:val="left" w:pos="7513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  <w:tc>
        <w:tcPr>
          <w:tcW w:w="2339" w:type="dxa"/>
        </w:tcPr>
        <w:p w:rsidR="005D513D" w:rsidRPr="001235C8" w:rsidRDefault="005D513D" w:rsidP="001235C8">
          <w:pPr>
            <w:keepNext/>
            <w:tabs>
              <w:tab w:val="left" w:pos="1080"/>
              <w:tab w:val="left" w:pos="1701"/>
              <w:tab w:val="left" w:pos="2340"/>
              <w:tab w:val="left" w:pos="3420"/>
              <w:tab w:val="left" w:pos="6237"/>
              <w:tab w:val="left" w:pos="7200"/>
              <w:tab w:val="left" w:pos="7513"/>
            </w:tabs>
            <w:overflowPunct w:val="0"/>
            <w:autoSpaceDE w:val="0"/>
            <w:autoSpaceDN w:val="0"/>
            <w:adjustRightInd w:val="0"/>
            <w:spacing w:before="120"/>
            <w:jc w:val="both"/>
            <w:outlineLvl w:val="4"/>
            <w:rPr>
              <w:b/>
              <w:i/>
              <w:iCs/>
              <w:sz w:val="16"/>
              <w:szCs w:val="16"/>
            </w:rPr>
          </w:pPr>
        </w:p>
      </w:tc>
    </w:tr>
  </w:tbl>
  <w:p w:rsidR="005D513D" w:rsidRPr="000D6EC6" w:rsidRDefault="005D513D" w:rsidP="00025514">
    <w:pPr>
      <w:pStyle w:val="Zpat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80" w:rsidRDefault="000C4580">
      <w:r>
        <w:separator/>
      </w:r>
    </w:p>
  </w:footnote>
  <w:footnote w:type="continuationSeparator" w:id="0">
    <w:p w:rsidR="000C4580" w:rsidRDefault="000C4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ED6E0D"/>
    <w:multiLevelType w:val="hybridMultilevel"/>
    <w:tmpl w:val="A4861036"/>
    <w:lvl w:ilvl="0" w:tplc="96DABA40">
      <w:start w:val="1"/>
      <w:numFmt w:val="lowerLetter"/>
      <w:lvlText w:val="%1)"/>
      <w:lvlJc w:val="left"/>
      <w:pPr>
        <w:ind w:left="340" w:hanging="34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913DC"/>
    <w:multiLevelType w:val="hybridMultilevel"/>
    <w:tmpl w:val="CBA04186"/>
    <w:lvl w:ilvl="0" w:tplc="DC9035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9794F"/>
    <w:multiLevelType w:val="hybridMultilevel"/>
    <w:tmpl w:val="AF34F272"/>
    <w:lvl w:ilvl="0" w:tplc="ED94F8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34877"/>
    <w:multiLevelType w:val="hybridMultilevel"/>
    <w:tmpl w:val="0818DE20"/>
    <w:lvl w:ilvl="0" w:tplc="3EA22634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A9"/>
    <w:rsid w:val="000074F5"/>
    <w:rsid w:val="0001258B"/>
    <w:rsid w:val="00025514"/>
    <w:rsid w:val="00036E31"/>
    <w:rsid w:val="000521C8"/>
    <w:rsid w:val="00054AE9"/>
    <w:rsid w:val="00057B1B"/>
    <w:rsid w:val="000732B1"/>
    <w:rsid w:val="00074EB9"/>
    <w:rsid w:val="000938DC"/>
    <w:rsid w:val="000A7D33"/>
    <w:rsid w:val="000C4580"/>
    <w:rsid w:val="000C7636"/>
    <w:rsid w:val="000D6A9E"/>
    <w:rsid w:val="000D6EC6"/>
    <w:rsid w:val="00104BA7"/>
    <w:rsid w:val="00123587"/>
    <w:rsid w:val="001235C8"/>
    <w:rsid w:val="00126790"/>
    <w:rsid w:val="00130E2F"/>
    <w:rsid w:val="00152A6E"/>
    <w:rsid w:val="00161E49"/>
    <w:rsid w:val="001A15E3"/>
    <w:rsid w:val="001B59F1"/>
    <w:rsid w:val="001D68FB"/>
    <w:rsid w:val="002071E5"/>
    <w:rsid w:val="00222B9A"/>
    <w:rsid w:val="002453B1"/>
    <w:rsid w:val="002608ED"/>
    <w:rsid w:val="002728EF"/>
    <w:rsid w:val="00274099"/>
    <w:rsid w:val="002764FE"/>
    <w:rsid w:val="002A14DD"/>
    <w:rsid w:val="002F087E"/>
    <w:rsid w:val="00300C38"/>
    <w:rsid w:val="003071CA"/>
    <w:rsid w:val="00354C38"/>
    <w:rsid w:val="00360124"/>
    <w:rsid w:val="003A162B"/>
    <w:rsid w:val="003A1B08"/>
    <w:rsid w:val="003B7F9E"/>
    <w:rsid w:val="003D115E"/>
    <w:rsid w:val="003D32ED"/>
    <w:rsid w:val="003F1E8F"/>
    <w:rsid w:val="00420D2D"/>
    <w:rsid w:val="00433B36"/>
    <w:rsid w:val="00483C7D"/>
    <w:rsid w:val="00495971"/>
    <w:rsid w:val="004E4E0F"/>
    <w:rsid w:val="004F4165"/>
    <w:rsid w:val="005005EE"/>
    <w:rsid w:val="00506DBB"/>
    <w:rsid w:val="00515524"/>
    <w:rsid w:val="00544365"/>
    <w:rsid w:val="005542D8"/>
    <w:rsid w:val="005917F8"/>
    <w:rsid w:val="005A5B71"/>
    <w:rsid w:val="005C56B9"/>
    <w:rsid w:val="005D513D"/>
    <w:rsid w:val="005E1AEC"/>
    <w:rsid w:val="005E6331"/>
    <w:rsid w:val="005F5D90"/>
    <w:rsid w:val="00611940"/>
    <w:rsid w:val="00611F35"/>
    <w:rsid w:val="00636830"/>
    <w:rsid w:val="0069391B"/>
    <w:rsid w:val="00694D21"/>
    <w:rsid w:val="006C7306"/>
    <w:rsid w:val="006D45BE"/>
    <w:rsid w:val="006E1160"/>
    <w:rsid w:val="006F5719"/>
    <w:rsid w:val="007203F6"/>
    <w:rsid w:val="007A1D6B"/>
    <w:rsid w:val="007D065D"/>
    <w:rsid w:val="007F3E2D"/>
    <w:rsid w:val="00820DBA"/>
    <w:rsid w:val="008315A1"/>
    <w:rsid w:val="0083580E"/>
    <w:rsid w:val="008568DB"/>
    <w:rsid w:val="00857D22"/>
    <w:rsid w:val="008625A4"/>
    <w:rsid w:val="008E6118"/>
    <w:rsid w:val="00906AD5"/>
    <w:rsid w:val="00915295"/>
    <w:rsid w:val="00922A1A"/>
    <w:rsid w:val="00944257"/>
    <w:rsid w:val="00962174"/>
    <w:rsid w:val="0096471B"/>
    <w:rsid w:val="009B27BF"/>
    <w:rsid w:val="009B4D8E"/>
    <w:rsid w:val="009C3367"/>
    <w:rsid w:val="009C75A5"/>
    <w:rsid w:val="009F4FE6"/>
    <w:rsid w:val="009F6A8C"/>
    <w:rsid w:val="00A00EEB"/>
    <w:rsid w:val="00A4077D"/>
    <w:rsid w:val="00A43001"/>
    <w:rsid w:val="00A5715A"/>
    <w:rsid w:val="00A70071"/>
    <w:rsid w:val="00AD373B"/>
    <w:rsid w:val="00AE2DD9"/>
    <w:rsid w:val="00AF53F5"/>
    <w:rsid w:val="00B15442"/>
    <w:rsid w:val="00B1576F"/>
    <w:rsid w:val="00B26F1B"/>
    <w:rsid w:val="00B32B68"/>
    <w:rsid w:val="00B53CA9"/>
    <w:rsid w:val="00B82AA6"/>
    <w:rsid w:val="00BC5DD9"/>
    <w:rsid w:val="00BF0C56"/>
    <w:rsid w:val="00BF612C"/>
    <w:rsid w:val="00C07D78"/>
    <w:rsid w:val="00C50B0E"/>
    <w:rsid w:val="00C612A8"/>
    <w:rsid w:val="00C851F9"/>
    <w:rsid w:val="00C87873"/>
    <w:rsid w:val="00C94C34"/>
    <w:rsid w:val="00C951C9"/>
    <w:rsid w:val="00CA02B3"/>
    <w:rsid w:val="00CA3707"/>
    <w:rsid w:val="00CA484D"/>
    <w:rsid w:val="00CD7DB8"/>
    <w:rsid w:val="00CF3861"/>
    <w:rsid w:val="00D16613"/>
    <w:rsid w:val="00D65853"/>
    <w:rsid w:val="00D67FFE"/>
    <w:rsid w:val="00D839C7"/>
    <w:rsid w:val="00DA2760"/>
    <w:rsid w:val="00E20C25"/>
    <w:rsid w:val="00E27E65"/>
    <w:rsid w:val="00E33099"/>
    <w:rsid w:val="00E50628"/>
    <w:rsid w:val="00E53210"/>
    <w:rsid w:val="00E7466C"/>
    <w:rsid w:val="00EA204F"/>
    <w:rsid w:val="00EA2D69"/>
    <w:rsid w:val="00EB2AD1"/>
    <w:rsid w:val="00ED46D2"/>
    <w:rsid w:val="00EE39AA"/>
    <w:rsid w:val="00F06E4D"/>
    <w:rsid w:val="00F32CDE"/>
    <w:rsid w:val="00F619E5"/>
    <w:rsid w:val="00F71A35"/>
    <w:rsid w:val="00FA783A"/>
    <w:rsid w:val="00FB7A70"/>
    <w:rsid w:val="00FD17B0"/>
    <w:rsid w:val="00FE03CF"/>
    <w:rsid w:val="00FE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E08B21-201B-4E8D-8252-20EABE21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42D8"/>
    <w:rPr>
      <w:sz w:val="24"/>
      <w:szCs w:val="24"/>
    </w:rPr>
  </w:style>
  <w:style w:type="paragraph" w:styleId="Nadpis1">
    <w:name w:val="heading 1"/>
    <w:basedOn w:val="Normln"/>
    <w:next w:val="Normln"/>
    <w:qFormat/>
    <w:rsid w:val="00B53CA9"/>
    <w:pPr>
      <w:keepNext/>
      <w:outlineLvl w:val="0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3601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3601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53CA9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ln"/>
    <w:next w:val="Nadpis1"/>
    <w:rsid w:val="00B53CA9"/>
    <w:pPr>
      <w:tabs>
        <w:tab w:val="left" w:pos="360"/>
      </w:tabs>
    </w:pPr>
    <w:rPr>
      <w:i/>
      <w:u w:val="single"/>
    </w:rPr>
  </w:style>
  <w:style w:type="paragraph" w:styleId="Zhlav">
    <w:name w:val="header"/>
    <w:basedOn w:val="Normln"/>
    <w:link w:val="ZhlavChar"/>
    <w:rsid w:val="00B53CA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B5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6F5719"/>
  </w:style>
  <w:style w:type="character" w:styleId="Hypertextovodkaz">
    <w:name w:val="Hyperlink"/>
    <w:basedOn w:val="Standardnpsmoodstavce"/>
    <w:rsid w:val="00CA3707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semiHidden/>
    <w:rsid w:val="00360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3601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unhideWhenUsed/>
    <w:rsid w:val="0036012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0124"/>
  </w:style>
  <w:style w:type="paragraph" w:styleId="Zkladntextodsazen">
    <w:name w:val="Body Text Indent"/>
    <w:basedOn w:val="Normln"/>
    <w:link w:val="ZkladntextodsazenChar"/>
    <w:unhideWhenUsed/>
    <w:rsid w:val="00360124"/>
    <w:pPr>
      <w:widowControl w:val="0"/>
      <w:tabs>
        <w:tab w:val="left" w:pos="360"/>
      </w:tabs>
      <w:suppressAutoHyphens/>
      <w:ind w:left="360" w:hanging="360"/>
      <w:jc w:val="both"/>
    </w:pPr>
    <w:rPr>
      <w:i/>
      <w:szCs w:val="20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360124"/>
    <w:rPr>
      <w:i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360124"/>
    <w:pPr>
      <w:suppressAutoHyphens/>
      <w:ind w:left="708"/>
    </w:pPr>
    <w:rPr>
      <w:lang w:eastAsia="ar-SA"/>
    </w:rPr>
  </w:style>
  <w:style w:type="paragraph" w:customStyle="1" w:styleId="Nadpis">
    <w:name w:val="Nadpis"/>
    <w:basedOn w:val="Normln"/>
    <w:next w:val="Zkladntext"/>
    <w:rsid w:val="00360124"/>
    <w:pPr>
      <w:widowControl w:val="0"/>
      <w:suppressAutoHyphens/>
      <w:jc w:val="center"/>
    </w:pPr>
    <w:rPr>
      <w:b/>
      <w:i/>
      <w:sz w:val="32"/>
      <w:szCs w:val="20"/>
      <w:lang w:eastAsia="ar-SA"/>
    </w:rPr>
  </w:style>
  <w:style w:type="paragraph" w:customStyle="1" w:styleId="Zkladntextodsazen31">
    <w:name w:val="Základní text odsazený 31"/>
    <w:basedOn w:val="Normln"/>
    <w:rsid w:val="00360124"/>
    <w:pPr>
      <w:widowControl w:val="0"/>
      <w:tabs>
        <w:tab w:val="left" w:pos="567"/>
      </w:tabs>
      <w:suppressAutoHyphens/>
      <w:ind w:left="567" w:hanging="567"/>
      <w:jc w:val="both"/>
    </w:pPr>
    <w:rPr>
      <w:i/>
      <w:szCs w:val="20"/>
      <w:lang w:eastAsia="ar-SA"/>
    </w:rPr>
  </w:style>
  <w:style w:type="character" w:styleId="Znakapoznpodarou">
    <w:name w:val="footnote reference"/>
    <w:unhideWhenUsed/>
    <w:rsid w:val="00360124"/>
    <w:rPr>
      <w:vertAlign w:val="superscript"/>
    </w:rPr>
  </w:style>
  <w:style w:type="paragraph" w:styleId="Zkladntext">
    <w:name w:val="Body Text"/>
    <w:basedOn w:val="Normln"/>
    <w:link w:val="ZkladntextChar"/>
    <w:rsid w:val="003601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60124"/>
    <w:rPr>
      <w:sz w:val="24"/>
      <w:szCs w:val="24"/>
    </w:rPr>
  </w:style>
  <w:style w:type="character" w:customStyle="1" w:styleId="ZhlavChar">
    <w:name w:val="Záhlaví Char"/>
    <w:link w:val="Zhlav"/>
    <w:rsid w:val="00B26F1B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CA02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A02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116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rtal.cenia.cz/eiasea/view/eia100_cr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ED03-85E3-4E40-9239-CB9F872B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a) úprava korespondence v přenesené působnosti</vt:lpstr>
    </vt:vector>
  </TitlesOfParts>
  <Company>Jihomoravský kraj, KÚ</Company>
  <LinksUpToDate>false</LinksUpToDate>
  <CharactersWithSpaces>1654</CharactersWithSpaces>
  <SharedDoc>false</SharedDoc>
  <HLinks>
    <vt:vector size="6" baseType="variant"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http://www.lelekovice.c/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úprava korespondence v přenesené působnosti</dc:title>
  <dc:creator>hort.lukas</dc:creator>
  <cp:lastModifiedBy>jobova</cp:lastModifiedBy>
  <cp:revision>6</cp:revision>
  <cp:lastPrinted>2022-06-23T06:22:00Z</cp:lastPrinted>
  <dcterms:created xsi:type="dcterms:W3CDTF">2022-06-22T12:38:00Z</dcterms:created>
  <dcterms:modified xsi:type="dcterms:W3CDTF">2022-06-23T06:23:00Z</dcterms:modified>
</cp:coreProperties>
</file>